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BC" w:rsidRDefault="00FB13BC" w:rsidP="00FB13BC">
      <w:pPr>
        <w:pStyle w:val="Rubrik1"/>
        <w:spacing w:after="141"/>
        <w:ind w:left="-5"/>
      </w:pPr>
      <w:bookmarkStart w:id="0" w:name="_Toc426285450"/>
      <w:bookmarkStart w:id="1" w:name="_GoBack"/>
      <w:bookmarkEnd w:id="1"/>
      <w:r>
        <w:t>Riktlinjer för arrangör</w:t>
      </w:r>
      <w:bookmarkEnd w:id="0"/>
      <w:r>
        <w:t xml:space="preserve"> av SM för fjordhäst</w:t>
      </w:r>
    </w:p>
    <w:p w:rsidR="00FB13BC" w:rsidRDefault="00FB13BC" w:rsidP="00FB13BC">
      <w:pPr>
        <w:pStyle w:val="Rubrik2"/>
        <w:ind w:left="-5"/>
      </w:pPr>
      <w:bookmarkStart w:id="2" w:name="_Toc426285451"/>
      <w:r>
        <w:t>9.1 Samarbete</w:t>
      </w:r>
      <w:bookmarkEnd w:id="2"/>
      <w:r>
        <w:t xml:space="preserve">  </w:t>
      </w:r>
    </w:p>
    <w:p w:rsidR="00FB13BC" w:rsidRDefault="00FB13BC" w:rsidP="00FB13BC">
      <w:pPr>
        <w:ind w:left="-5" w:right="0"/>
      </w:pPr>
      <w:r>
        <w:t xml:space="preserve">Tävlingarna ska samarrangeras av minst en lokalförening ansluten till SFF tillsammans med en förening ansluten till Svenska Ridsportförbundet (SvRF). Tävlingen arrangeras årligen..  </w:t>
      </w:r>
    </w:p>
    <w:p w:rsidR="00FB13BC" w:rsidRDefault="00FB13BC" w:rsidP="00FB13BC">
      <w:pPr>
        <w:pStyle w:val="Rubrik2"/>
        <w:ind w:left="-5"/>
      </w:pPr>
      <w:bookmarkStart w:id="3" w:name="_Toc426285452"/>
      <w:r>
        <w:t>9.2 Dispensansökan</w:t>
      </w:r>
      <w:bookmarkEnd w:id="3"/>
      <w:r>
        <w:t xml:space="preserve">  </w:t>
      </w:r>
    </w:p>
    <w:p w:rsidR="00FB13BC" w:rsidRDefault="00FB13BC" w:rsidP="00FB13BC">
      <w:pPr>
        <w:ind w:left="-5" w:right="0"/>
      </w:pPr>
      <w:r>
        <w:t xml:space="preserve">Arrangören ska i god tid ansöka till SvRF om särskild dispens för att anordna tävlingen då tävlingen har vissa avsteg från tävlingsreglementet.  </w:t>
      </w:r>
    </w:p>
    <w:p w:rsidR="00FB13BC" w:rsidRDefault="00FB13BC" w:rsidP="00FB13BC">
      <w:pPr>
        <w:ind w:left="-5" w:right="0"/>
      </w:pPr>
      <w:r>
        <w:t xml:space="preserve">Ansökan om dispens för tävlingen krävs från SvRF. Kontakta sportavdelningen på SvRF:s kansli för ansökan om dispens. Dispensansökan bör vara godkänd innan årsskiftet. Ansökan avser att stänga tävlingen för andra hästraser men också de frånsteg från TR som sker i klasserna. Bifoga detta regelverk och ange också de öppna klasser som planeras, samt deras bedömningar.  </w:t>
      </w:r>
    </w:p>
    <w:p w:rsidR="00FB13BC" w:rsidRDefault="00FB13BC" w:rsidP="00FB13BC">
      <w:pPr>
        <w:ind w:left="-5" w:right="0"/>
      </w:pPr>
      <w:r>
        <w:t>Arrangören skall söka dispens hos JUF om att samtliga ekipage även ponnyekipage startar i häst klass samt att tävlingen är stängd för andra raser och för fjordhästar som inte uppfyller härstamningskraven.</w:t>
      </w:r>
    </w:p>
    <w:p w:rsidR="00FB13BC" w:rsidRDefault="00FB13BC" w:rsidP="00FB13BC">
      <w:pPr>
        <w:ind w:left="-5" w:right="0"/>
      </w:pPr>
    </w:p>
    <w:p w:rsidR="00FB13BC" w:rsidRDefault="00FB13BC" w:rsidP="00FB13BC">
      <w:pPr>
        <w:pStyle w:val="Rubrik2"/>
        <w:ind w:left="-5"/>
      </w:pPr>
      <w:bookmarkStart w:id="4" w:name="_Toc426285453"/>
      <w:r>
        <w:t>9.3 Proposition</w:t>
      </w:r>
      <w:bookmarkEnd w:id="4"/>
      <w:r>
        <w:t xml:space="preserve">  </w:t>
      </w:r>
    </w:p>
    <w:p w:rsidR="00FB13BC" w:rsidRDefault="00FB13BC" w:rsidP="00FB13BC">
      <w:pPr>
        <w:spacing w:after="273" w:line="259" w:lineRule="auto"/>
        <w:ind w:left="-5" w:right="0"/>
      </w:pPr>
      <w:r>
        <w:t xml:space="preserve">Proposition skapas i tävlingsdatabasen (TDB).  </w:t>
      </w:r>
    </w:p>
    <w:p w:rsidR="00FB13BC" w:rsidRDefault="00FB13BC" w:rsidP="00FB13BC">
      <w:pPr>
        <w:ind w:left="-5" w:right="0"/>
      </w:pPr>
      <w:r>
        <w:t>Tävlingsansökan till Svenska Ridsportförbundet och Jordbrukaren Ungdomens Förbund ska föregå skapandet av propositionen. Kontakta gällande distrikt för sista ansökningsdatum samt ansökan. Ansöka görs via till SvRF ansluten ridklubbs tävlingsdatabas där tävlingen läggs in som lokal tävling för ponny och häst i grenarna hoppning, dressyr och körning.  Observera att det bör skapas en tävling per gren i TDB.</w:t>
      </w:r>
    </w:p>
    <w:p w:rsidR="00FB13BC" w:rsidRDefault="00FB13BC" w:rsidP="00FB13BC">
      <w:pPr>
        <w:spacing w:after="273" w:line="259" w:lineRule="auto"/>
        <w:ind w:left="-5" w:right="0"/>
      </w:pPr>
      <w:r>
        <w:t xml:space="preserve">Propositionen ska ange eventuella avvikelser från tävlingsreglementet.  </w:t>
      </w:r>
    </w:p>
    <w:p w:rsidR="00FB13BC" w:rsidRDefault="00FB13BC" w:rsidP="00FB13BC">
      <w:pPr>
        <w:spacing w:after="273" w:line="259" w:lineRule="auto"/>
        <w:ind w:left="-5" w:right="0"/>
      </w:pPr>
      <w:r>
        <w:t>Domare ska även stå angiven i propositionen samt i TDB.</w:t>
      </w:r>
    </w:p>
    <w:p w:rsidR="00FB13BC" w:rsidRDefault="00FB13BC" w:rsidP="00FB13BC">
      <w:pPr>
        <w:ind w:left="-5" w:right="0"/>
      </w:pPr>
      <w:r>
        <w:t>Propositionen ska innan publicering granskas och godkännas av SFF för att sedan granskas av SvRF. Inbjudan skall publiceras i SFF:s medlemstidning Lill-Blakken. Sänd godkänd proposition eller inbjudan till redaktionen.  Detta bör vara klart i början av året.</w:t>
      </w:r>
    </w:p>
    <w:p w:rsidR="00FB13BC" w:rsidRDefault="00FB13BC" w:rsidP="00FB13BC">
      <w:pPr>
        <w:pStyle w:val="Rubrik2"/>
        <w:ind w:left="-5"/>
      </w:pPr>
      <w:bookmarkStart w:id="5" w:name="_Toc426285454"/>
      <w:r>
        <w:lastRenderedPageBreak/>
        <w:t>9.4 Tävlingens längd</w:t>
      </w:r>
      <w:bookmarkEnd w:id="5"/>
      <w:r>
        <w:t xml:space="preserve">  </w:t>
      </w:r>
    </w:p>
    <w:p w:rsidR="00FB13BC" w:rsidRDefault="00FB13BC" w:rsidP="00FB13BC">
      <w:pPr>
        <w:spacing w:after="290" w:line="259" w:lineRule="auto"/>
        <w:ind w:left="-5" w:right="0"/>
      </w:pPr>
      <w:r>
        <w:t>Tävlingen bör sträcka sig mellan tre och fyra dagar och hållas i juli månad.  Se till att ha tidsprogrammet klart i god tid. Ta hänsyn till allroundekipagen så det finns möjlighet att starta i allround samt så många SM klasser som möjligt.</w:t>
      </w:r>
    </w:p>
    <w:p w:rsidR="00FB13BC" w:rsidRDefault="00FB13BC" w:rsidP="00FB13BC">
      <w:pPr>
        <w:pStyle w:val="Rubrik2"/>
        <w:ind w:left="-5"/>
      </w:pPr>
      <w:bookmarkStart w:id="6" w:name="_Toc426285455"/>
      <w:r>
        <w:t>9.5 Tävlingsbanor</w:t>
      </w:r>
      <w:bookmarkEnd w:id="6"/>
      <w:r>
        <w:t xml:space="preserve">  </w:t>
      </w:r>
    </w:p>
    <w:p w:rsidR="00FB13BC" w:rsidRDefault="00FB13BC" w:rsidP="00FB13BC">
      <w:pPr>
        <w:spacing w:after="176" w:line="358" w:lineRule="auto"/>
        <w:ind w:left="0" w:right="0" w:firstLine="0"/>
        <w:jc w:val="left"/>
      </w:pPr>
      <w:r>
        <w:t xml:space="preserve">Tävlingsanläggningen bör ha tillgång till två (2) tävlingsbanor/ ridhus på gräs eller grus med närliggande uppvärmningsmöjligheter i form av framridnings/körnings/hoppnings-bana på snarlikt underlag. Underlag skall anges i propositionen. Arrangören ska tillgodose att tävlingsekipage och publik inte blandas för att förhindra skador. </w:t>
      </w:r>
    </w:p>
    <w:p w:rsidR="00FB13BC" w:rsidRDefault="00FB13BC" w:rsidP="00FB13BC">
      <w:pPr>
        <w:pStyle w:val="Rubrik2"/>
        <w:ind w:left="-5"/>
      </w:pPr>
      <w:bookmarkStart w:id="7" w:name="_Toc426285456"/>
      <w:r>
        <w:t>9.6 Program</w:t>
      </w:r>
      <w:bookmarkEnd w:id="7"/>
      <w:r>
        <w:t xml:space="preserve">  </w:t>
      </w:r>
    </w:p>
    <w:p w:rsidR="00FB13BC" w:rsidRDefault="00FB13BC" w:rsidP="00FB13BC">
      <w:pPr>
        <w:ind w:left="-5" w:right="0"/>
      </w:pPr>
      <w:r>
        <w:t xml:space="preserve">Programmet ska anpassas så att allroundekipage kan delta i så många SM-klasser som möjligt. Programmet ska publiceras i samband med propositionen.  </w:t>
      </w:r>
    </w:p>
    <w:p w:rsidR="00FB13BC" w:rsidRDefault="00FB13BC" w:rsidP="00FB13BC">
      <w:pPr>
        <w:pStyle w:val="Rubrik2"/>
        <w:ind w:left="-5"/>
      </w:pPr>
      <w:bookmarkStart w:id="8" w:name="_Toc426285457"/>
      <w:r>
        <w:t>9.7 Motionsmöjligheter</w:t>
      </w:r>
      <w:bookmarkEnd w:id="8"/>
      <w:r>
        <w:t xml:space="preserve">  </w:t>
      </w:r>
    </w:p>
    <w:p w:rsidR="00FB13BC" w:rsidRDefault="00FB13BC" w:rsidP="00FB13BC">
      <w:pPr>
        <w:spacing w:line="259" w:lineRule="auto"/>
        <w:ind w:left="-5" w:right="0"/>
      </w:pPr>
      <w:r>
        <w:t xml:space="preserve">Motionsmöjligheter bör finnas för deltagande ekipage utanför tävlingsbanan.  </w:t>
      </w:r>
    </w:p>
    <w:p w:rsidR="00FB13BC" w:rsidRDefault="00FB13BC" w:rsidP="00FB13BC">
      <w:pPr>
        <w:pStyle w:val="Rubrik2"/>
        <w:ind w:left="-5"/>
      </w:pPr>
      <w:bookmarkStart w:id="9" w:name="_Toc426285458"/>
      <w:r>
        <w:t>9.8 Uppstallning</w:t>
      </w:r>
      <w:bookmarkEnd w:id="9"/>
      <w:r>
        <w:t xml:space="preserve">  </w:t>
      </w:r>
    </w:p>
    <w:p w:rsidR="00FB13BC" w:rsidRDefault="00FB13BC" w:rsidP="00FB13BC">
      <w:pPr>
        <w:ind w:left="-5" w:right="0"/>
      </w:pPr>
      <w:r>
        <w:t xml:space="preserve">Uppstallning ska finnas på tävlingsplatsen i fasta eller mobila boxar och ske enligt Jordbruksverkets regler för uppstallning under tävling. Stallvakt ska finnas 24 timmar/dygn. </w:t>
      </w:r>
    </w:p>
    <w:p w:rsidR="00FB13BC" w:rsidRDefault="00FB13BC" w:rsidP="00FB13BC">
      <w:pPr>
        <w:pStyle w:val="Rubrik2"/>
        <w:ind w:left="-5"/>
      </w:pPr>
      <w:bookmarkStart w:id="10" w:name="_Toc426285459"/>
      <w:r>
        <w:t>9.9 Veterinärbesiktning</w:t>
      </w:r>
      <w:bookmarkEnd w:id="10"/>
      <w:r>
        <w:t xml:space="preserve">  </w:t>
      </w:r>
    </w:p>
    <w:p w:rsidR="00FB13BC" w:rsidRDefault="00FB13BC" w:rsidP="00FB13BC">
      <w:pPr>
        <w:ind w:left="-5" w:right="0"/>
      </w:pPr>
      <w:r>
        <w:t xml:space="preserve">Behovet av veterinärbesiktning fastställs av Jordbruksverket. SFF rekommenderar att alla deltagande hästar ska veterinärbesiktigas innan första start.  </w:t>
      </w:r>
    </w:p>
    <w:p w:rsidR="00FB13BC" w:rsidRDefault="00FB13BC" w:rsidP="00FB13BC">
      <w:pPr>
        <w:pStyle w:val="Rubrik2"/>
        <w:ind w:left="-5"/>
      </w:pPr>
      <w:bookmarkStart w:id="11" w:name="_Toc426285460"/>
      <w:r>
        <w:t>9.10 Boende</w:t>
      </w:r>
      <w:bookmarkEnd w:id="11"/>
      <w:r>
        <w:t xml:space="preserve">  </w:t>
      </w:r>
    </w:p>
    <w:p w:rsidR="00FB13BC" w:rsidRDefault="00FB13BC" w:rsidP="00FB13BC">
      <w:pPr>
        <w:spacing w:after="290" w:line="259" w:lineRule="auto"/>
        <w:ind w:left="-5" w:right="0"/>
      </w:pPr>
      <w:r>
        <w:t xml:space="preserve">Boende med nära anslutning till tävlingsplatsen för ryttare/kusk bör finnas.  </w:t>
      </w:r>
    </w:p>
    <w:p w:rsidR="00FB13BC" w:rsidRDefault="00FB13BC" w:rsidP="00FB13BC">
      <w:pPr>
        <w:pStyle w:val="Rubrik2"/>
        <w:spacing w:after="268"/>
        <w:ind w:left="-5"/>
      </w:pPr>
      <w:bookmarkStart w:id="12" w:name="_Toc426285461"/>
      <w:r>
        <w:t>9.11 Funktionärer</w:t>
      </w:r>
      <w:bookmarkEnd w:id="12"/>
      <w:r>
        <w:t xml:space="preserve">  </w:t>
      </w:r>
    </w:p>
    <w:p w:rsidR="00FB13BC" w:rsidRDefault="00FB13BC" w:rsidP="00FB13BC">
      <w:pPr>
        <w:ind w:left="-5" w:right="0"/>
      </w:pPr>
      <w:r>
        <w:t xml:space="preserve">Särskilda tävlingsfunktionärer såsom domare, banbyggare och överdomare skall vara godkända för respektive gren och nivå ska bokas, vilket bör göras i god tid.  I SvRF grenar skall tävlingsfunktionärer vara av SvRF utbildad och licensierad tävlingsfunktionär för gällande tävlingsår. Dessa funktionärer finnes i Tävlingsdatabasen. </w:t>
      </w:r>
    </w:p>
    <w:p w:rsidR="00FB13BC" w:rsidRDefault="00FB13BC" w:rsidP="00FB13BC">
      <w:pPr>
        <w:ind w:left="-5" w:right="0"/>
      </w:pPr>
      <w:r>
        <w:t>Godkänd domare skall användas i grenar kopplade till JUF, dessa funktionärer finnes på JUFs hemsida.</w:t>
      </w:r>
    </w:p>
    <w:p w:rsidR="00FB13BC" w:rsidRDefault="00FB13BC" w:rsidP="00FB13BC">
      <w:pPr>
        <w:ind w:left="-5" w:right="0"/>
      </w:pPr>
      <w:r>
        <w:t xml:space="preserve">Grenfunktionär avser: domare, banbyggare, överdomare. Samtliga grenfunktionärer ska vara för uppgiften godkända samt inte vara i jäv. I grenar kopplade till SvRF regleras domare och jäv i reglementen. I bruksgrenar innebär detta att tävlingsfunktionär ska vara utbildad och av JUF godkänd för uppgiften. Se reglemente för varje enskild gren. För övriga funktionärer krävs ingen särskild utbildning.  </w:t>
      </w:r>
    </w:p>
    <w:p w:rsidR="00FB13BC" w:rsidRDefault="00FB13BC" w:rsidP="00FB13BC">
      <w:pPr>
        <w:spacing w:after="0" w:line="259" w:lineRule="auto"/>
        <w:ind w:left="-5" w:right="0"/>
        <w:jc w:val="left"/>
      </w:pPr>
      <w:r>
        <w:rPr>
          <w:color w:val="2C74B5"/>
          <w:sz w:val="26"/>
        </w:rPr>
        <w:t xml:space="preserve">9.11 Resultat </w:t>
      </w:r>
    </w:p>
    <w:p w:rsidR="00FB13BC" w:rsidRDefault="00FB13BC" w:rsidP="00FB13BC">
      <w:pPr>
        <w:ind w:left="-5" w:right="0"/>
      </w:pPr>
      <w:r>
        <w:t xml:space="preserve">En resultatansvarig ska utses, som efter avslutad tävling ansvarar för att resultaten publiceras på arrangerande förenings webbplats samt för att skicka resultaten till SFF för publicering, samt även till SvRF och JUF. Resultat skall sedan arkiveras i minst fem (5) år.  </w:t>
      </w:r>
    </w:p>
    <w:p w:rsidR="00FB13BC" w:rsidRDefault="00FB13BC" w:rsidP="00FB13BC">
      <w:pPr>
        <w:pStyle w:val="Rubrik2"/>
      </w:pPr>
      <w:bookmarkStart w:id="13" w:name="_Toc426285462"/>
      <w:r>
        <w:t>9.12 Grenledare</w:t>
      </w:r>
      <w:bookmarkEnd w:id="13"/>
    </w:p>
    <w:p w:rsidR="00FB13BC" w:rsidRDefault="00FB13BC" w:rsidP="00FB13BC">
      <w:r>
        <w:t>Svenska Fjordhästföreningens tävlingskommitté består av följande grenledare och har även följande ansvarsområden. Dessa kan kontaktas för rådgivning angående arrangemanget. Se hemsidan för information om kontaktpersoner.</w:t>
      </w:r>
    </w:p>
    <w:p w:rsidR="00FB13BC" w:rsidRPr="000C40B0" w:rsidRDefault="00FB13BC" w:rsidP="00FB13BC"/>
    <w:p w:rsidR="00FB13BC" w:rsidRDefault="00FB13BC" w:rsidP="00FB13BC">
      <w:pPr>
        <w:ind w:left="0" w:firstLine="0"/>
      </w:pPr>
      <w:r>
        <w:t xml:space="preserve"> </w:t>
      </w:r>
    </w:p>
    <w:p w:rsidR="00E6754F" w:rsidRDefault="00E6754F"/>
    <w:sectPr w:rsidR="00E6754F">
      <w:headerReference w:type="even" r:id="rId7"/>
      <w:headerReference w:type="default" r:id="rId8"/>
      <w:footerReference w:type="even" r:id="rId9"/>
      <w:footerReference w:type="default" r:id="rId10"/>
      <w:headerReference w:type="first" r:id="rId11"/>
      <w:footerReference w:type="first" r:id="rId12"/>
      <w:pgSz w:w="11906" w:h="16838"/>
      <w:pgMar w:top="766" w:right="1415" w:bottom="766" w:left="141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1F" w:rsidRDefault="00087E1F">
      <w:pPr>
        <w:spacing w:after="0" w:line="240" w:lineRule="auto"/>
      </w:pPr>
      <w:r>
        <w:separator/>
      </w:r>
    </w:p>
  </w:endnote>
  <w:endnote w:type="continuationSeparator" w:id="0">
    <w:p w:rsidR="00087E1F" w:rsidRDefault="0008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D8" w:rsidRDefault="00FB13BC">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B20D8" w:rsidRDefault="00FB13B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D8" w:rsidRDefault="00FB13BC">
    <w:pPr>
      <w:spacing w:after="0" w:line="259" w:lineRule="auto"/>
      <w:ind w:left="0" w:firstLine="0"/>
      <w:jc w:val="right"/>
    </w:pPr>
    <w:r>
      <w:fldChar w:fldCharType="begin"/>
    </w:r>
    <w:r>
      <w:instrText xml:space="preserve"> PAGE   \* MERGEFORMAT </w:instrText>
    </w:r>
    <w:r>
      <w:fldChar w:fldCharType="separate"/>
    </w:r>
    <w:r w:rsidR="00A80556" w:rsidRPr="00A8055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DB20D8" w:rsidRDefault="00FB13B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D8" w:rsidRDefault="00087E1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1F" w:rsidRDefault="00087E1F">
      <w:pPr>
        <w:spacing w:after="0" w:line="240" w:lineRule="auto"/>
      </w:pPr>
      <w:r>
        <w:separator/>
      </w:r>
    </w:p>
  </w:footnote>
  <w:footnote w:type="continuationSeparator" w:id="0">
    <w:p w:rsidR="00087E1F" w:rsidRDefault="0008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417" w:tblpY="758"/>
      <w:tblOverlap w:val="never"/>
      <w:tblW w:w="9072" w:type="dxa"/>
      <w:tblInd w:w="0" w:type="dxa"/>
      <w:tblCellMar>
        <w:right w:w="115" w:type="dxa"/>
      </w:tblCellMar>
      <w:tblLook w:val="04A0" w:firstRow="1" w:lastRow="0" w:firstColumn="1" w:lastColumn="0" w:noHBand="0" w:noVBand="1"/>
    </w:tblPr>
    <w:tblGrid>
      <w:gridCol w:w="9072"/>
    </w:tblGrid>
    <w:tr w:rsidR="00DB20D8">
      <w:trPr>
        <w:trHeight w:val="433"/>
      </w:trPr>
      <w:tc>
        <w:tcPr>
          <w:tcW w:w="9072" w:type="dxa"/>
          <w:tcBorders>
            <w:top w:val="nil"/>
            <w:left w:val="nil"/>
            <w:bottom w:val="nil"/>
            <w:right w:val="nil"/>
          </w:tcBorders>
          <w:shd w:val="clear" w:color="auto" w:fill="5B9BD4"/>
        </w:tcPr>
        <w:p w:rsidR="00DB20D8" w:rsidRDefault="00A80556">
          <w:pPr>
            <w:spacing w:after="0" w:line="259" w:lineRule="auto"/>
            <w:ind w:left="-1"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185" o:spid="_x0000_s2050" type="#_x0000_t136" style="position:absolute;left:0;text-align:left;margin-left:0;margin-top:0;width:497.55pt;height:142.15pt;rotation:315;z-index:-251655168;mso-position-horizontal:center;mso-position-horizontal-relative:margin;mso-position-vertical:center;mso-position-vertical-relative:margin" o:allowincell="f" fillcolor="silver" stroked="f">
                <v:fill opacity=".5"/>
                <v:textpath style="font-family:&quot;Times New Roman&quot;;font-size:1pt" string="REMISS"/>
              </v:shape>
            </w:pict>
          </w:r>
          <w:r w:rsidR="00FB13BC">
            <w:rPr>
              <w:rFonts w:ascii="Calibri" w:eastAsia="Calibri" w:hAnsi="Calibri" w:cs="Calibri"/>
              <w:sz w:val="22"/>
            </w:rPr>
            <w:t xml:space="preserve"> </w:t>
          </w:r>
        </w:p>
        <w:p w:rsidR="00DB20D8" w:rsidRDefault="00FB13BC">
          <w:pPr>
            <w:spacing w:after="0" w:line="259" w:lineRule="auto"/>
            <w:ind w:left="118" w:right="0" w:firstLine="0"/>
            <w:jc w:val="center"/>
          </w:pPr>
          <w:r>
            <w:rPr>
              <w:rFonts w:ascii="Calibri" w:eastAsia="Calibri" w:hAnsi="Calibri" w:cs="Calibri"/>
              <w:color w:val="FFFFFF"/>
              <w:sz w:val="22"/>
            </w:rPr>
            <w:t xml:space="preserve">REGLEMENTE FÖR SVENSKT MÄSTERSKAP FÖR FJORDHÄSTAR </w:t>
          </w:r>
        </w:p>
      </w:tc>
    </w:tr>
  </w:tbl>
  <w:p w:rsidR="00DB20D8" w:rsidRDefault="00087E1F">
    <w:pPr>
      <w:spacing w:after="0" w:line="259" w:lineRule="auto"/>
      <w:ind w:left="-14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417" w:tblpY="758"/>
      <w:tblOverlap w:val="never"/>
      <w:tblW w:w="9072" w:type="dxa"/>
      <w:tblInd w:w="0" w:type="dxa"/>
      <w:tblCellMar>
        <w:right w:w="115" w:type="dxa"/>
      </w:tblCellMar>
      <w:tblLook w:val="04A0" w:firstRow="1" w:lastRow="0" w:firstColumn="1" w:lastColumn="0" w:noHBand="0" w:noVBand="1"/>
    </w:tblPr>
    <w:tblGrid>
      <w:gridCol w:w="9072"/>
    </w:tblGrid>
    <w:tr w:rsidR="00DB20D8">
      <w:trPr>
        <w:trHeight w:val="433"/>
      </w:trPr>
      <w:tc>
        <w:tcPr>
          <w:tcW w:w="9072" w:type="dxa"/>
          <w:tcBorders>
            <w:top w:val="nil"/>
            <w:left w:val="nil"/>
            <w:bottom w:val="nil"/>
            <w:right w:val="nil"/>
          </w:tcBorders>
          <w:shd w:val="clear" w:color="auto" w:fill="5B9BD4"/>
        </w:tcPr>
        <w:p w:rsidR="00DB20D8" w:rsidRDefault="00A80556">
          <w:pPr>
            <w:spacing w:after="0" w:line="259" w:lineRule="auto"/>
            <w:ind w:left="-1"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186" o:spid="_x0000_s2051" type="#_x0000_t136" style="position:absolute;left:0;text-align:left;margin-left:0;margin-top:0;width:497.55pt;height:142.15pt;rotation:315;z-index:-251653120;mso-position-horizontal:center;mso-position-horizontal-relative:margin;mso-position-vertical:center;mso-position-vertical-relative:margin" o:allowincell="f" fillcolor="silver" stroked="f">
                <v:fill opacity=".5"/>
                <v:textpath style="font-family:&quot;Times New Roman&quot;;font-size:1pt" string="REMISS"/>
              </v:shape>
            </w:pict>
          </w:r>
          <w:r w:rsidR="00FB13BC">
            <w:rPr>
              <w:rFonts w:ascii="Calibri" w:eastAsia="Calibri" w:hAnsi="Calibri" w:cs="Calibri"/>
              <w:sz w:val="22"/>
            </w:rPr>
            <w:t xml:space="preserve"> </w:t>
          </w:r>
        </w:p>
        <w:p w:rsidR="00DB20D8" w:rsidRDefault="00FB13BC" w:rsidP="00C73AE1">
          <w:pPr>
            <w:spacing w:after="0" w:line="259" w:lineRule="auto"/>
            <w:ind w:left="118" w:right="0" w:firstLine="0"/>
            <w:jc w:val="center"/>
          </w:pPr>
          <w:r>
            <w:rPr>
              <w:rFonts w:ascii="Calibri" w:eastAsia="Calibri" w:hAnsi="Calibri" w:cs="Calibri"/>
              <w:color w:val="FFFFFF"/>
              <w:sz w:val="22"/>
            </w:rPr>
            <w:t>REGLEMENTE FÖR FJORDHÄST-SM</w:t>
          </w:r>
        </w:p>
      </w:tc>
    </w:tr>
  </w:tbl>
  <w:p w:rsidR="00DB20D8" w:rsidRDefault="00087E1F">
    <w:pPr>
      <w:spacing w:after="0" w:line="259" w:lineRule="auto"/>
      <w:ind w:left="-14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D8" w:rsidRDefault="00A80556">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184" o:spid="_x0000_s2049" type="#_x0000_t136" style="position:absolute;margin-left:0;margin-top:0;width:497.55pt;height:142.15pt;rotation:315;z-index:-251657216;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BC"/>
    <w:rsid w:val="00087E1F"/>
    <w:rsid w:val="00116ECF"/>
    <w:rsid w:val="00A80556"/>
    <w:rsid w:val="00E6754F"/>
    <w:rsid w:val="00FB1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BC"/>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FB13BC"/>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FB13BC"/>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13BC"/>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FB13BC"/>
    <w:rPr>
      <w:rFonts w:ascii="Times New Roman" w:eastAsia="Times New Roman" w:hAnsi="Times New Roman" w:cs="Times New Roman"/>
      <w:color w:val="2C74B5"/>
      <w:sz w:val="26"/>
      <w:lang w:eastAsia="sv-SE"/>
    </w:rPr>
  </w:style>
  <w:style w:type="table" w:styleId="Tabellrutnt">
    <w:name w:val="Table Grid"/>
    <w:rsid w:val="00FB13BC"/>
    <w:pPr>
      <w:spacing w:after="0" w:line="240" w:lineRule="auto"/>
    </w:pPr>
    <w:rPr>
      <w:rFonts w:eastAsiaTheme="minorEastAsia"/>
      <w:lang w:eastAsia="sv-S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BC"/>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FB13BC"/>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FB13BC"/>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13BC"/>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FB13BC"/>
    <w:rPr>
      <w:rFonts w:ascii="Times New Roman" w:eastAsia="Times New Roman" w:hAnsi="Times New Roman" w:cs="Times New Roman"/>
      <w:color w:val="2C74B5"/>
      <w:sz w:val="26"/>
      <w:lang w:eastAsia="sv-SE"/>
    </w:rPr>
  </w:style>
  <w:style w:type="table" w:styleId="Tabellrutnt">
    <w:name w:val="Table Grid"/>
    <w:rsid w:val="00FB13BC"/>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3855</Characters>
  <Application>Microsoft Office Word</Application>
  <DocSecurity>0</DocSecurity>
  <Lines>32</Lines>
  <Paragraphs>9</Paragraphs>
  <ScaleCrop>false</ScaleCrop>
  <HeadingPairs>
    <vt:vector size="4" baseType="variant">
      <vt:variant>
        <vt:lpstr>Rubrik</vt:lpstr>
      </vt:variant>
      <vt:variant>
        <vt:i4>1</vt:i4>
      </vt:variant>
      <vt:variant>
        <vt:lpstr>Rubriker</vt:lpstr>
      </vt:variant>
      <vt:variant>
        <vt:i4>13</vt:i4>
      </vt:variant>
    </vt:vector>
  </HeadingPairs>
  <TitlesOfParts>
    <vt:vector size="14" baseType="lpstr">
      <vt:lpstr/>
      <vt:lpstr>Riktlinjer för arrangör av SM för fjordhäst</vt:lpstr>
      <vt:lpstr>    9.1 Samarbete  </vt:lpstr>
      <vt:lpstr>    9.2 Dispensansökan  </vt:lpstr>
      <vt:lpstr>    9.3 Proposition  </vt:lpstr>
      <vt:lpstr>    9.4 Tävlingens längd  </vt:lpstr>
      <vt:lpstr>    9.5 Tävlingsbanor  </vt:lpstr>
      <vt:lpstr>    9.6 Program  </vt:lpstr>
      <vt:lpstr>    9.7 Motionsmöjligheter  </vt:lpstr>
      <vt:lpstr>    9.8 Uppstallning  </vt:lpstr>
      <vt:lpstr>    9.9 Veterinärbesiktning  </vt:lpstr>
      <vt:lpstr>    9.10 Boende  </vt:lpstr>
      <vt:lpstr>    9.11 Funktionärer  </vt:lpstr>
      <vt:lpstr>    9.12 Grenledare</vt:lpstr>
    </vt:vector>
  </TitlesOfParts>
  <Company>Hewlett-Packard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dcterms:created xsi:type="dcterms:W3CDTF">2015-08-11T06:27:00Z</dcterms:created>
  <dcterms:modified xsi:type="dcterms:W3CDTF">2015-08-17T16:07:00Z</dcterms:modified>
</cp:coreProperties>
</file>